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VGG — Anwendungsbereich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besonderen Vorschriften dieses Teils gelten für die gebietsübergreifende Vergabe von Online-Rechten an Musikwerken durch Verwertungsgesellschaften.</w:t>
      </w:r>
    </w:p>
    <w:p>
      <w:r>
        <w:t xml:space="preserve">(2) Online-Rechte im Sinne dieses Gesetzes sind die Rechte, die für die Bereitstellung eines Online-Dienstes erforderlich sind und die dem Urheber nach den Artikeln 2 und 3 der Richtlinie 2001/29/EG des Europäischen Parlaments und des Rates vom 22. Mai 2001 zur Harmonisierung bestimmter Aspekte des Urheberrechts und der verwandten Schutzrechte in der Informationsgesellschaft (ABl. L 167 vom 22.6.2001, S. 10) zustehen.</w:t>
      </w:r>
    </w:p>
    <w:p>
      <w:r>
        <w:t xml:space="preserve">(3) Gebietsübergreifend im Sinne dieses Gesetzes ist eine Vergabe, wenn sie das Gebiet von mehr als einem Mitgliedstaat der Europäischen Union oder anderen Vertragsstaat des Abkommens über den Europäischen Wirtschaftsraum umfasst.</w:t>
      </w:r>
    </w:p>
    <w:p>
      <w:r>
        <w:rPr>
          <w:color w:val="555555"/>
          <w:sz w:val="17"/>
        </w:rPr>
        <w:t xml:space="preserve">Zitiervorschlag: § 59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