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VGG — Jährlicher Transparenzbericht</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Verwertungsgesellschaft erstellt spätestens acht Monate nach dem Schluss des Geschäftsjahres einen Transparenzbericht (jährlicher Transparenzbericht) für dieses Geschäftsjahr.</w:t>
      </w:r>
    </w:p>
    <w:p>
      <w:r>
        <w:t xml:space="preserve">(2) Der jährliche Transparenzbericht muss mindestens die in der Anlage aufgeführten Angaben enthalten.</w:t>
      </w:r>
    </w:p>
    <w:p>
      <w:r>
        <w:t xml:space="preserve">(3) Die Finanzinformationen nach Nummer 1 Buchstabe g der Anlage sowie der Inhalt des gesonderten Berichts nach Nummer 1 Buchstabe h der Anlage sind einer prüferischen Durchsicht durch einen Abschlussprüfer zu unterziehen. Die Vorschriften über die Bestellung des Abschlussprüfers sind auf die prüferische Durchsicht entsprechend anzuwenden. Der Abschlussprüfer fasst das Ergebnis der prüferischen Durchsicht in einer Bescheinigung zum jährlichen Transparenzbericht zusammen.</w:t>
      </w:r>
    </w:p>
    <w:p>
      <w:r>
        <w:t xml:space="preserve">(4) Die Verwertungsgesellschaft veröffentlicht innerhalb der Frist nach Absatz 1 den jährlichen Transparenzbericht einschließlich des Bestätigungsvermerks über den Jahresabschluss und der Bescheinigung zum jährlichen Transparenzbericht nach Absatz 3 oder etwaiger Beanstandungen, jeweils im vollen Wortlaut, auf ihrer Internetseite. Der jährliche Transparenzbericht muss dort mindestens fünf Jahre lang öffentlich zugänglich bleiben.</w:t>
      </w:r>
    </w:p>
    <w:p>
      <w:r>
        <w:rPr>
          <w:color w:val="555555"/>
          <w:sz w:val="17"/>
        </w:rPr>
        <w:t xml:space="preserve">Zitiervorschlag: § 58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