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VGG — Jahresabschluss und Lagebericht</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Verwertungsgesellschaft hat, auch wenn sie nicht in der Rechtsform einer Kapitalgesellschaft betrieben wird, einen aus Bilanz, Gewinn- und Verlustrechnung, Kapitalflussrechnung und Anhang bestehenden Jahresabschluss und einen Lagebericht nach den für große Kapitalgesellschaften geltenden Bestimmungen des Handelsgesetzbuchs aufzustellen, prüfen zu lassen und offenzulegen. Die Offenlegung ist spätestens zum Ablauf von acht Monaten nach dem Schluss des Geschäftsjahres zu bewirken. Der Bestätigungsvermerk ist mit seinem vollen Wortlaut wiederzugeben.</w:t>
      </w:r>
    </w:p>
    <w:p>
      <w:r>
        <w:t xml:space="preserve">(2) Die Prüfung des Jahresabschlusses umfasst auch die Prüfung, ob die Pflichten nach den §§ 24 und 28 Absatz 4 erfüllt und die Wertansätze und die Zuordnung der Konten unter Beachtung des Grundsatzes der Stetigkeit sachgerecht und nachvollziehbar erfolgt sind, sowie die Prüfung, ob bei der Anlage der Einnahmen aus den Rechten die Anlagerichtlinie beachtet worden ist (§ 25 Absatz 1 Satz 2). Das Ergebnis ist in den Prüfungsbericht aufzunehmen.</w:t>
      </w:r>
    </w:p>
    <w:p>
      <w:r>
        <w:t xml:space="preserve">(3) Weiter gehende gesetzliche Vorschriften über die Rechnungslegung und Prüfung bleiben unberührt.</w:t>
      </w:r>
    </w:p>
    <w:p>
      <w:r>
        <w:rPr>
          <w:color w:val="555555"/>
          <w:sz w:val="17"/>
        </w:rPr>
        <w:t xml:space="preserve">Zitiervorschlag: § 57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