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VGG — Informationen für die Allgemeinheit</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Die Verwertungsgesellschaft veröffentlicht mindestens die folgenden Informationen auf ihrer Internetseite:</w:t>
      </w:r>
    </w:p>
    <w:p>
      <w:pPr>
        <w:ind w:left="420"/>
      </w:pPr>
      <w:r>
        <w:t xml:space="preserve">1. das Statut,</w:t>
      </w:r>
    </w:p>
    <w:p>
      <w:pPr>
        <w:ind w:left="420"/>
      </w:pPr>
      <w:r>
        <w:t xml:space="preserve">2. die Wahrnehmungsbedingungen, einschließlich der Bedingungen für die Beendigung des Wahrnehmungsverhältnisses und den Entzug von Rechten,</w:t>
      </w:r>
    </w:p>
    <w:p>
      <w:pPr>
        <w:ind w:left="420"/>
      </w:pPr>
      <w:r>
        <w:t xml:space="preserve">3. die Standardnutzungsverträge,</w:t>
      </w:r>
    </w:p>
    <w:p>
      <w:pPr>
        <w:ind w:left="420"/>
      </w:pPr>
      <w:r>
        <w:t xml:space="preserve">4. die Tarife und die Standardvergütungssätze, jeweils einschließlich Ermäßigungen,</w:t>
      </w:r>
    </w:p>
    <w:p>
      <w:pPr>
        <w:ind w:left="420"/>
      </w:pPr>
      <w:r>
        <w:t xml:space="preserve">5. die von ihr geschlossenen Gesamtverträge,</w:t>
      </w:r>
    </w:p>
    <w:p>
      <w:pPr>
        <w:ind w:left="420"/>
      </w:pPr>
      <w:r>
        <w:t xml:space="preserve">6. eine Liste der Personen, die kraft Gesetzes oder nach dem Statut zur Vertretung der Verwertungsgesellschaft berechtigt sind,</w:t>
      </w:r>
    </w:p>
    <w:p>
      <w:pPr>
        <w:ind w:left="420"/>
      </w:pPr>
      <w:r>
        <w:t xml:space="preserve">7. den Verteilungsplan,</w:t>
      </w:r>
    </w:p>
    <w:p>
      <w:pPr>
        <w:ind w:left="420"/>
      </w:pPr>
      <w:r>
        <w:t xml:space="preserve">8. die allgemeinen Grundsätze für die zur Deckung der Verwaltungskosten vorgenommenen Abzüge von den Einnahmen aus den Rechten,</w:t>
      </w:r>
    </w:p>
    <w:p>
      <w:pPr>
        <w:ind w:left="420"/>
      </w:pPr>
      <w:r>
        <w:t xml:space="preserve">9. die allgemeinen Grundsätze für die für andere Zwecke als zur Deckung der Verwaltungskosten vorgenommenen Abzüge von den Einnahmen aus den Rechten, einschließlich gegebenenfalls vorgenommener Abzüge zur Förderung kulturell bedeutender Werke und Leistungen, und für die Einrichtung und den Betrieb von Vorsorge- und Unterstützungseinrichtungen,</w:t>
      </w:r>
    </w:p>
    <w:p>
      <w:pPr>
        <w:ind w:left="420"/>
      </w:pPr>
      <w:r>
        <w:t xml:space="preserve">10. die allgemeinen Grundsätze für die Verwendung der nicht verteilbaren Einnahmen aus den Rechten,</w:t>
      </w:r>
    </w:p>
    <w:p>
      <w:pPr>
        <w:ind w:left="420"/>
      </w:pPr>
      <w:r>
        <w:t xml:space="preserve">11. eine Aufstellung der von ihr geschlossenen Repräsentationsvereinbarungen und die Namen der Verwertungsgesellschaften, mit denen die Verträge geschlossen wurden,</w:t>
      </w:r>
    </w:p>
    <w:p>
      <w:pPr>
        <w:ind w:left="420"/>
      </w:pPr>
      <w:r>
        <w:t xml:space="preserve">12. die Regelungen zum Beschwerdeverfahren nach § 33 sowie die Angabe, in welchen Streitfällen die Schiedsstelle nach den §§ 92 bis 94 angerufen werden kann,</w:t>
      </w:r>
    </w:p>
    <w:p>
      <w:pPr>
        <w:ind w:left="420"/>
      </w:pPr>
      <w:r>
        <w:t xml:space="preserve">13. die Regelungen gemäß § 63 zur Berichtigung der Daten, auf die in § 61 Absatz 2 Bezug genommen wird, und zur Berichtigung der Informationen nach § 62 Absatz 1.</w:t>
      </w:r>
    </w:p>
    <w:p>
      <w:r>
        <w:t xml:space="preserve">(2) Die Verwertungsgesellschaft hält die Informationen auf dem aktuellen Stand.</w:t>
      </w:r>
    </w:p>
    <w:p>
      <w:r>
        <w:rPr>
          <w:color w:val="555555"/>
          <w:sz w:val="17"/>
        </w:rPr>
        <w:t xml:space="preserve">Zitiervorschlag: § 56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