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VGG — Informationen zu Werken und sonstigen Schutzgegenständen</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Die Verwertungsgesellschaft informiert die Rechtsinhaber, die Verwertungsgesellschaften, für die sie auf der Grundlage einer Repräsentationsvereinbarung Rechte wahrnimmt, und die Nutzer jeweils auf hinreichend begründete Anfrage unverzüglich und elektronisch mindestens über:</w:t>
      </w:r>
    </w:p>
    <w:p>
      <w:pPr>
        <w:ind w:left="420"/>
      </w:pPr>
      <w:r>
        <w:t xml:space="preserve">1. die Werke oder sonstigen Schutzgegenstände sowie die Rechte, die sie unmittelbar oder auf Grundlage von Repräsentationsvereinbarungen wahrnimmt, und die jeweils umfassten Gebiete oder</w:t>
      </w:r>
    </w:p>
    <w:p>
      <w:pPr>
        <w:ind w:left="420"/>
      </w:pPr>
      <w:r>
        <w:t xml:space="preserve">2. die Arten von Werken oder sonstigen Schutzgegenständen sowie die Rechte, die sie unmittelbar oder auf Grundlage einer Repräsentationsvereinbarung wahrnimmt, und die jeweils umfassten Gebiete, wenn aufgrund des Tätigkeitsbereichs der Verwertungsgesellschaft Werke und sonstige Schutzgegenstände nicht bestimmt werden können.</w:t>
      </w:r>
    </w:p>
    <w:p>
      <w:r>
        <w:t xml:space="preserve">(2) Die Verwertungsgesellschaft darf, soweit dies erforderlich ist, angemessene Maßnahmen ergreifen, um die Richtigkeit und Integrität der Informationen zu schützen, um ihre Weiterverwendung zu kontrollieren und um wirtschaftlich sensible Informationen zu schützen.</w:t>
      </w:r>
    </w:p>
    <w:p>
      <w:r>
        <w:t xml:space="preserve">(3) Die Verwertungsgesellschaft kann die Erteilung der Informationen von der Erstattung der damit verbundenen Kosten abhängig machen, soweit dies angemessen ist.</w:t>
      </w:r>
    </w:p>
    <w:p>
      <w:r>
        <w:rPr>
          <w:color w:val="555555"/>
          <w:sz w:val="17"/>
        </w:rPr>
        <w:t xml:space="preserve">Zitiervorschlag: § 55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