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VGG — Information der Rechtsinhaber vor Zustimmung zur Wahrnehmung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Bevor die Verwertungsgesellschaft die Zustimmung des Rechtsinhabers zur Wahrnehmung seiner Rechte einholt, informiert sie den Rechtsinhaber über:</w:t>
      </w:r>
    </w:p>
    <w:p>
      <w:pPr>
        <w:ind w:left="420"/>
      </w:pPr>
      <w:r>
        <w:t xml:space="preserve">1. die ihm nach den §§ 9 bis 12 zustehenden Rechte einschließlich der in § 11 genannten Bedingungen sowie</w:t>
      </w:r>
    </w:p>
    <w:p>
      <w:pPr>
        <w:ind w:left="420"/>
      </w:pPr>
      <w:r>
        <w:t xml:space="preserve">2. die Abzüge von den Einnahmen aus den Rechten, einschließlich der Abzüge zur Deckung der Verwaltungskosten.</w:t>
      </w:r>
    </w:p>
    <w:p>
      <w:r>
        <w:t xml:space="preserve">(2) Die Verwertungsgesellschaft führt die Rechte nach den §§ 9 bis 12 in dem Statut oder in den Wahrnehmungsbedingungen auf.</w:t>
      </w:r>
    </w:p>
    <w:p>
      <w:r>
        <w:rPr>
          <w:color w:val="555555"/>
          <w:sz w:val="17"/>
        </w:rPr>
        <w:t xml:space="preserve">Zitiervorschlag: § 53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