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52d VGG — Verordnungsermächtigung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Das Bundesministerium der Justiz und für Verbraucherschutz wird ermächtigt, durch Rechtsverordnung ohne Zustimmung des Bundesrates Folgendes näher zu regeln:</w:t>
      </w:r>
    </w:p>
    <w:p>
      <w:pPr>
        <w:ind w:left="420"/>
      </w:pPr>
      <w:r>
        <w:t xml:space="preserve">1. Ausübung und Rechtsfolgen des Widerspruchs des Außenstehenden (§ 51 Absatz 2 und § 52 Absatz 2),</w:t>
      </w:r>
    </w:p>
    <w:p>
      <w:pPr>
        <w:ind w:left="420"/>
      </w:pPr>
      <w:r>
        <w:t xml:space="preserve">2. Unzumutbarkeit des Rechteerwerbs (§ 51a Absatz 1 Nummer 2),</w:t>
      </w:r>
    </w:p>
    <w:p>
      <w:pPr>
        <w:ind w:left="420"/>
      </w:pPr>
      <w:r>
        <w:t xml:space="preserve">3. Informationspflichten (§ 51a Absatz 1 Nummer 4 und § 52a Absatz 1 Satz 1 Nummer 4),</w:t>
      </w:r>
    </w:p>
    <w:p>
      <w:pPr>
        <w:ind w:left="420"/>
      </w:pPr>
      <w:r>
        <w:t xml:space="preserve">4. Angemessenheit der Frist (§ 51a Absatz 1 Nummer 4),</w:t>
      </w:r>
    </w:p>
    <w:p>
      <w:pPr>
        <w:ind w:left="420"/>
      </w:pPr>
      <w:r>
        <w:t xml:space="preserve">5. Repräsentativität von Verwertungsgesellschaften, einschließlich Vermutungswirkung und gemeinsamem Handeln mehrerer Verwertungsgesellschaften (§ 51b),</w:t>
      </w:r>
    </w:p>
    <w:p>
      <w:pPr>
        <w:ind w:left="420"/>
      </w:pPr>
      <w:r>
        <w:t xml:space="preserve">6. weitere Anforderungen zur Verfügbarkeit von Werken, einschließlich des zur Ermittlung der Verfügbarkeit erforderlichen vertretbaren Aufwands und der Wahrung der Urheberpersönlichkeitsrechte insbesondere bei nicht veröffentlichten Werken (§ 52b),</w:t>
      </w:r>
    </w:p>
    <w:p>
      <w:pPr>
        <w:ind w:left="420"/>
      </w:pPr>
      <w:r>
        <w:t xml:space="preserve">7. Nutzung von Werkreihen aus Drittstaaten (§ 52c).</w:t>
      </w:r>
    </w:p>
    <w:p>
      <w:r>
        <w:rPr>
          <w:color w:val="555555"/>
          <w:sz w:val="17"/>
        </w:rPr>
        <w:t xml:space="preserve">Zitiervorschlag: § 52d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https://recht.nulegal.eu/gesetze/VGG/52d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