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52a VGG — Wirksamkeit der Rechtseinräumung und dauerhafte Information bei nicht verfügbaren Werken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Die Einräumung von Rechten am Werk eines Außenstehenden nach § 52 ist unter folgenden Voraussetzungen wirksam:</w:t>
      </w:r>
    </w:p>
    <w:p>
      <w:pPr>
        <w:ind w:left="420"/>
      </w:pPr>
      <w:r>
        <w:t xml:space="preserve">1. die Verwertungsgesellschaft ist repräsentativ (§ 51b),</w:t>
      </w:r>
    </w:p>
    <w:p>
      <w:pPr>
        <w:ind w:left="420"/>
      </w:pPr>
      <w:r>
        <w:t xml:space="preserve">2. die Rechtseinräumung beschränkt sich auf die Vervielfältigung, Verbreitung, öffentliche Zugänglichmachung und sonstige öffentliche Wiedergabe zu nicht kommerziellen Zwecken,</w:t>
      </w:r>
    </w:p>
    <w:p>
      <w:pPr>
        <w:ind w:left="420"/>
      </w:pPr>
      <w:r>
        <w:t xml:space="preserve">3. das betreffende Werk befindet sich im Bestand der Kulturerbe-Einrichtung,</w:t>
      </w:r>
    </w:p>
    <w:p>
      <w:pPr>
        <w:ind w:left="420"/>
      </w:pPr>
      <w:r>
        <w:t xml:space="preserve">4. die Verwertungsgesellschaft informiert sechs Monate vor Beginn der Rechtseinräumung im Online-Portal des Amtes der Europäischen Union für geistiges Eigentum über</w:t>
      </w:r>
    </w:p>
    <w:p>
      <w:pPr>
        <w:ind w:left="780"/>
      </w:pPr>
      <w:r>
        <w:t xml:space="preserve">a) das betreffende Werk,</w:t>
      </w:r>
    </w:p>
    <w:p>
      <w:pPr>
        <w:ind w:left="780"/>
      </w:pPr>
      <w:r>
        <w:t xml:space="preserve">b) die Vertragsparteien, die betroffenen Nutzungsrechte, deren Geltungsbereich,</w:t>
      </w:r>
    </w:p>
    <w:p>
      <w:pPr>
        <w:ind w:left="780"/>
      </w:pPr>
      <w:r>
        <w:t xml:space="preserve">c) das Recht des Außenstehenden zum Widerspruch,</w:t>
      </w:r>
    </w:p>
    <w:p>
      <w:pPr>
        <w:ind w:left="420"/>
      </w:pPr>
      <w:r>
        <w:t xml:space="preserve">5. der Außenstehende hat innerhalb der in Nummer 4 bestimmten Frist der Rechtseinräumung nicht widersprochen.</w:t>
      </w:r>
    </w:p>
    <w:p>
      <w:r>
        <w:t xml:space="preserve">Die Einräumung des Rechts der Vervielfältigung ist abweichend von Satz 1 Nummer 5 bereits mit Beginn der Bekanntgabe der Informationen im Online-Portal des Amtes der Europäischen Union für geistiges Eigentum zulässig.</w:t>
      </w:r>
    </w:p>
    <w:p>
      <w:r>
        <w:t xml:space="preserve">(2) Die Verwertungsgesellschaft belässt die Informationen gemäß Absatz 1 Satz 1 Nummer 4 dauerhaft im Online-Portal des Amtes der Europäischen Union für geistiges Eigentum.</w:t>
      </w:r>
    </w:p>
    <w:p>
      <w:r>
        <w:rPr>
          <w:color w:val="555555"/>
          <w:sz w:val="17"/>
        </w:rPr>
        <w:t xml:space="preserve">Zitiervorschlag: § 52a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