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51b VGG — Repräsentativität der Verwertungsgesellschaft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Eine Verwertungsgesellschaft ist repräsentativ, wenn sie für eine ausreichend große Zahl von Rechtsinhabern Rechte, die Gegenstand der kollektiven Lizenz sein sollen, auf vertraglicher Grundlage wahrnimmt.</w:t>
      </w:r>
    </w:p>
    <w:p>
      <w:r>
        <w:t xml:space="preserve">(2) Nimmt nur eine Verwertungsgesellschaft, der eine Erlaubnis (§ 77) erteilt wurde, Rechte nach Absatz 1 wahr, so wird widerleglich vermutet, dass sie repräsentativ ist.</w:t>
      </w:r>
    </w:p>
    <w:p>
      <w:r>
        <w:rPr>
          <w:color w:val="555555"/>
          <w:sz w:val="17"/>
        </w:rPr>
        <w:t xml:space="preserve">Zitiervorschlag: § 51b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https://recht.nulegal.eu/gesetze/VGG/51b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