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51a VGG — Wirksamkeit der Rechtseinräumung und dauerhafte Information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Die Einräumung von Rechten am Werk eines Außenstehenden ist unter folgenden Voraussetzungen wirksam:</w:t>
      </w:r>
    </w:p>
    <w:p>
      <w:pPr>
        <w:ind w:left="420"/>
      </w:pPr>
      <w:r>
        <w:t xml:space="preserve">1. die Verwertungsgesellschaft ist repräsentativ (§ 51b),</w:t>
      </w:r>
    </w:p>
    <w:p>
      <w:pPr>
        <w:ind w:left="420"/>
      </w:pPr>
      <w:r>
        <w:t xml:space="preserve">2. die Einholung der Nutzungserlaubnis von allen betroffenen Außenstehenden durch den Nutzer oder die Verwertungsgesellschaft ist unzumutbar,</w:t>
      </w:r>
    </w:p>
    <w:p>
      <w:pPr>
        <w:ind w:left="420"/>
      </w:pPr>
      <w:r>
        <w:t xml:space="preserve">3. die Rechtseinräumung beschränkt sich auf Nutzungen im Inland,</w:t>
      </w:r>
    </w:p>
    <w:p>
      <w:pPr>
        <w:ind w:left="420"/>
      </w:pPr>
      <w:r>
        <w:t xml:space="preserve">4. die Verwertungsgesellschaft informiert während einer angemessen Frist von mindestens drei Monaten vor der Rechtseinräumung auf ihrer Internetseite</w:t>
      </w:r>
    </w:p>
    <w:p>
      <w:pPr>
        <w:ind w:left="780"/>
      </w:pPr>
      <w:r>
        <w:t xml:space="preserve">a) darüber, dass sie in der Lage ist, kollektive Lizenzen mit erweiterter Wirkung zu erteilen,</w:t>
      </w:r>
    </w:p>
    <w:p>
      <w:pPr>
        <w:ind w:left="780"/>
      </w:pPr>
      <w:r>
        <w:t xml:space="preserve">b) über die Wirkungen kollektiver Lizenzen mit erweiterter Wirkung für Außenstehende,</w:t>
      </w:r>
    </w:p>
    <w:p>
      <w:pPr>
        <w:ind w:left="780"/>
      </w:pPr>
      <w:r>
        <w:t xml:space="preserve">c) über die Nutzungsarten, Werkarten und Gruppen von Rechtsinhabern, die in die kollektiven Lizenzen mit erweiterter Wirkung einbezogen werden sollen,</w:t>
      </w:r>
    </w:p>
    <w:p>
      <w:pPr>
        <w:ind w:left="780"/>
      </w:pPr>
      <w:r>
        <w:t xml:space="preserve">d) über das Recht der Außenstehenden zum Widerspruch,</w:t>
      </w:r>
    </w:p>
    <w:p>
      <w:pPr>
        <w:ind w:left="420"/>
      </w:pPr>
      <w:r>
        <w:t xml:space="preserve">5. der Außenstehende hat innerhalb der in Nummer 4 bestimmten Frist der Rechtseinräumung nicht widersprochen.</w:t>
      </w:r>
    </w:p>
    <w:p>
      <w:r>
        <w:t xml:space="preserve">(2) Die Verwertungsgesellschaft stellt die Informationen gemäß Absatz 1 Nummer 4 dauerhaft auf ihrer Internetseite zur Verfügung.</w:t>
      </w:r>
    </w:p>
    <w:p>
      <w:r>
        <w:rPr>
          <w:color w:val="555555"/>
          <w:sz w:val="17"/>
        </w:rPr>
        <w:t xml:space="preserve">Zitiervorschlag: § 51a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