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VGG — Kollektive Lizenzen mit erweiterter Wirkung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Schließt eine Verwertungsgesellschaft einen Vertrag über die Nutzung ihres Repertoires, so kann sie nach Maßgabe dieses Abschnitts entsprechende Nutzungsrechte auch am Werk eines Außenstehenden (§ 7a) einräumen.</w:t>
      </w:r>
    </w:p>
    <w:p>
      <w:r>
        <w:t xml:space="preserve">(2) Der Außenstehende kann der Rechtseinräumung nach Absatz 1 jederzeit gegenüber der Verwertungsgesellschaft widersprechen.</w:t>
      </w:r>
    </w:p>
    <w:p>
      <w:r>
        <w:t xml:space="preserve">(3) In Bezug auf die Rechtseinräumung hat der Außenstehende im Verhältnis zur Verwertungsgesellschaft die gleichen Rechte und Pflichten wie bei einer Wahrnehmung auf vertraglicher Grundlage.</w:t>
      </w:r>
    </w:p>
    <w:p>
      <w:r>
        <w:rPr>
          <w:color w:val="555555"/>
          <w:sz w:val="17"/>
        </w:rPr>
        <w:t xml:space="preserve">Zitiervorschlag: § 51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