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VGG — Rechtsinhaber</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Rechtsinhaber im Sinne dieses Gesetzes ist jede natürliche oder juristische Person, die Inhaber eines Urheberrechts oder verwandten Schutzrechts ist oder die gesetzlich oder aufgrund eines Rechteverwertungsvertrags Anspruch auf einen Anteil an den Einnahmen aus diesen Rechten hat.</w:t>
      </w:r>
    </w:p>
    <w:p>
      <w:r>
        <w:t xml:space="preserve">(2) Verwertungsgesellschaften sind keine Rechtsinhaber im Sinne dieses Gesetzes.</w:t>
      </w:r>
    </w:p>
    <w:p>
      <w:r>
        <w:rPr>
          <w:color w:val="555555"/>
          <w:sz w:val="17"/>
        </w:rPr>
        <w:t xml:space="preserve">Zitiervorschlag: § 5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