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VGG — Vermutung bei gesetzlichen Vergütungsansprüchen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Macht die Verwertungsgesellschaft einen Vergütungsanspruch nach § 27, § 54 Absatz 1, § 54c Absatz 1, § 77 Absatz 2, § 85 Absatz 4, § 94 Absatz 4 oder § 137l Absatz 5 des Urheberrechtsgesetzes geltend, so wird vermutet, dass sie die Rechte aller Rechtsinhaber wahrnimmt.</w:t>
      </w:r>
    </w:p>
    <w:p>
      <w:r>
        <w:t xml:space="preserve">(2) Ist mehr als eine Verwertungsgesellschaft zur Geltendmachung des Anspruchs berechtigt, so gilt die Vermutung nur, wenn der Anspruch von allen berechtigten Verwertungsgesellschaften gemeinsam geltend gemacht wird.</w:t>
      </w:r>
    </w:p>
    <w:p>
      <w:r>
        <w:t xml:space="preserve">(3) Soweit die Verwertungsgesellschaft Zahlungen auch für die Rechtsinhaber erhält, deren Rechte sie nicht wahrnimmt, hat sie den Nutzer von den Vergütungsansprüchen dieser Rechtsinhaber freizustellen.</w:t>
      </w:r>
    </w:p>
    <w:p>
      <w:r>
        <w:rPr>
          <w:color w:val="555555"/>
          <w:sz w:val="17"/>
        </w:rPr>
        <w:t xml:space="preserve">Zitiervorschlag: § 49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