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VGG — Verteilung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Für die Verteilung der Einnahmen aus den Rechten, die die beauftragte Verwertungsgesellschaft auf Grundlage einer Repräsentationsvereinbarung wahrnimmt, ist der Verteilungsplan der beauftragten Verwertungsgesellschaft maßgeblich, soweit die Verwertungsgesellschaften in der Repräsentationsvereinbarung keine abweichenden Vereinbarungen treffen. Abweichende Vereinbarungen in der Repräsentationsvereinbarung müssen ein willkürliches Vorgehen bei der Verteilung ausschließen.</w:t>
      </w:r>
    </w:p>
    <w:p>
      <w:r>
        <w:t xml:space="preserve">(2) Von den Vorschriften über die Verteilungsfrist (§ 28) kann in der Repräsentationsvereinbarung nicht zum Nachteil der beauftragenden Verwertungsgesellschaft abgewichen werden.</w:t>
      </w:r>
    </w:p>
    <w:p>
      <w:r>
        <w:t xml:space="preserve">(3) Bezieht sich die Repräsentationsvereinbarung auf Rechte und Werke oder sonstige Schutzgegenstände, die zum Tätigkeitsbereich beider Verwertungsgesellschaften zählen, so hat die beauftragende Verwertungsgesellschaft die Verteilungsfrist (§ 28) so zu bestimmen, dass die Einnahmen aus den Rechten spätestens sechs Monate nach Erhalt an die von ihr vertretenen Berechtigten verteilt werden.</w:t>
      </w:r>
    </w:p>
    <w:p>
      <w:r>
        <w:rPr>
          <w:color w:val="555555"/>
          <w:sz w:val="17"/>
        </w:rPr>
        <w:t xml:space="preserve">Zitiervorschlag: § 46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