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VGG — Gestaltung der Tarife für Geräte und Speichermedien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Höhe der Vergütung für Geräte und Speichermedien bestimmt sich nach § 54a des Urheberrechtsgesetzes. Die Verwertungsgesellschaften stellen hierfür Tarife auf Grundlage einer empirischen Untersuchung aus einem Verfahren gemäß § 93 auf. § 38 Satz 2 bleibt unberührt.</w:t>
      </w:r>
    </w:p>
    <w:p>
      <w:r>
        <w:t xml:space="preserve">(2) Die Pflicht zur Tarifaufstellung entfällt, wenn zu erwarten ist, dass der dafür erforderliche wirtschaftliche Aufwand außer Verhältnis zu den zu erwartenden Einnahmen stehen würde.</w:t>
      </w:r>
    </w:p>
    <w:p>
      <w:r>
        <w:rPr>
          <w:color w:val="555555"/>
          <w:sz w:val="17"/>
        </w:rPr>
        <w:t xml:space="preserve">Zitiervorschlag: § 40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