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VGG — Hinterlegung; Zahlung unter Vorbehalt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eine Einigung über die Höhe der Vergütung für die Einräumung von Nutzungsrechten nicht zustande, so gelten die Nutzungsrechte als eingeräumt, wenn die Vergütung</w:t>
      </w:r>
    </w:p>
    <w:p>
      <w:pPr>
        <w:ind w:left="420"/>
      </w:pPr>
      <w:r>
        <w:t xml:space="preserve">1. in Höhe des vom Nutzer anerkannten Betrages an die Verwertungsgesellschaft gezahlt worden ist und</w:t>
      </w:r>
    </w:p>
    <w:p>
      <w:pPr>
        <w:ind w:left="420"/>
      </w:pPr>
      <w:r>
        <w:t xml:space="preserve">2. in Höhe der darüber hinausgehenden Forderung der Verwertungsgesellschaft unter Vorbehalt an die Verwertungsgesellschaft gezahlt oder zu ihren Gunsten hinterlegt worden ist.</w:t>
      </w:r>
    </w:p>
    <w:p>
      <w:r>
        <w:rPr>
          <w:color w:val="555555"/>
          <w:sz w:val="17"/>
        </w:rPr>
        <w:t xml:space="preserve">Zitiervorschlag: § 37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