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VGG — Beschwerdeverfahren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Verwertungsgesellschaft regelt wirksame und zügige Beschwerdeverfahren.</w:t>
      </w:r>
    </w:p>
    <w:p>
      <w:r>
        <w:t xml:space="preserve">(2) Als Gegenstand einer Beschwerde sind dabei insbesondere zu benennen:</w:t>
      </w:r>
    </w:p>
    <w:p>
      <w:pPr>
        <w:ind w:left="420"/>
      </w:pPr>
      <w:r>
        <w:t xml:space="preserve">1. die Aufnahme und die Beendigung der Rechtewahrnehmung oder der Entzug von Rechten,</w:t>
      </w:r>
    </w:p>
    <w:p>
      <w:pPr>
        <w:ind w:left="420"/>
      </w:pPr>
      <w:r>
        <w:t xml:space="preserve">2. die Bedingungen für die Mitgliedschaft und die Wahrnehmungsbedingungen,</w:t>
      </w:r>
    </w:p>
    <w:p>
      <w:pPr>
        <w:ind w:left="420"/>
      </w:pPr>
      <w:r>
        <w:t xml:space="preserve">3. die Einziehung, Verwaltung und Verteilung der Einnahmen aus den Rechten,</w:t>
      </w:r>
    </w:p>
    <w:p>
      <w:pPr>
        <w:ind w:left="420"/>
      </w:pPr>
      <w:r>
        <w:t xml:space="preserve">4. die Abzüge von den Einnahmen aus den Rechten.</w:t>
      </w:r>
    </w:p>
    <w:p>
      <w:r>
        <w:t xml:space="preserve">(3) Die Verwertungsgesellschaft entscheidet über Beschwerden in Textform. Soweit die Verwertungsgesellschaft der Beschwerde nicht abhilft, hat sie dies zu begründen.</w:t>
      </w:r>
    </w:p>
    <w:p>
      <w:r>
        <w:rPr>
          <w:color w:val="555555"/>
          <w:sz w:val="17"/>
        </w:rPr>
        <w:t xml:space="preserve">Zitiervorschlag: § 33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