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VGG — Kulturelle Förderung; Vorsorge- und Unterstützungseinrichtungen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soll kulturell bedeutende Werke und Leistungen fördern.</w:t>
      </w:r>
    </w:p>
    <w:p>
      <w:r>
        <w:t xml:space="preserve">(2) Die Verwertungsgesellschaft soll Vorsorge- und Unterstützungseinrichtungen für ihre Berechtigten einrichten.</w:t>
      </w:r>
    </w:p>
    <w:p>
      <w:r>
        <w:t xml:space="preserve">(3) Werden kulturelle Förderungen und Vorsorge- und Unterstützungseinrichtungen durch Abzüge von den Einnahmen aus den Rechten finanziert, so hat die Verwertungsgesellschaft die kulturellen Förderungen und die Leistungen der Vorsorge- und Unterstützungseinrichtungen nach festen Regeln, die auf fairen Kriterien beruhen, zu erbringen.</w:t>
      </w:r>
    </w:p>
    <w:p>
      <w:r>
        <w:rPr>
          <w:color w:val="555555"/>
          <w:sz w:val="17"/>
        </w:rPr>
        <w:t xml:space="preserve">Zitiervorschlag: § 32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