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VGG — Verteilungsfrist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Verwertungsgesellschaft bestimmt im Verteilungsplan oder in den Wahrnehmungsbedingungen Fristen, binnen derer die Einnahmen aus den Rechten verteilt werden.</w:t>
      </w:r>
    </w:p>
    <w:p>
      <w:r>
        <w:t xml:space="preserve">(2) Die Verwertungsgesellschaft bestimmt die Fristen so, dass die Einnahmen aus den Rechten spätestens neun Monate nach Ablauf des Geschäftsjahres, in dem sie eingezogen wurden, verteilt werden.</w:t>
      </w:r>
    </w:p>
    <w:p>
      <w:r>
        <w:t xml:space="preserve">(3) Die Verwertungsgesellschaft kann vorsehen, dass eine Frist nicht abläuft, solange die Verwertungsgesellschaft aus sachlichen Gründen an der Durchführung der Verteilung gehindert ist.</w:t>
      </w:r>
    </w:p>
    <w:p>
      <w:r>
        <w:t xml:space="preserve">(4) Einnahmen aus den Rechten, die nicht innerhalb der Fristen ausgeschüttet werden, weil der Berechtigte nicht festgestellt oder ausfindig gemacht werden kann, weist die Verwertungsgesellschaft in der Buchführung getrennt aus.</w:t>
      </w:r>
    </w:p>
    <w:p>
      <w:r>
        <w:rPr>
          <w:color w:val="555555"/>
          <w:sz w:val="17"/>
        </w:rPr>
        <w:t xml:space="preserve">Zitiervorschlag: § 28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