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VGG — Verwendung der Einnahmen aus den Rechten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darf die Einnahmen aus den Rechten nur zu folgenden Zwecken verwenden:</w:t>
      </w:r>
    </w:p>
    <w:p>
      <w:pPr>
        <w:ind w:left="420"/>
      </w:pPr>
      <w:r>
        <w:t xml:space="preserve">1. zur Verteilung an die Berechtigten (§ 27) und an andere Verwertungsgesellschaften im Rahmen von Repräsentationsvereinbarungen (§ 46);</w:t>
      </w:r>
    </w:p>
    <w:p>
      <w:pPr>
        <w:ind w:left="420"/>
      </w:pPr>
      <w:r>
        <w:t xml:space="preserve">2. gemäß einem nach § 17 Absatz 1 Satz 2 Nummer 7 gefassten Beschluss, soweit die Einnahmen aus den Rechten nicht verteilbar sind;</w:t>
      </w:r>
    </w:p>
    <w:p>
      <w:pPr>
        <w:ind w:left="420"/>
      </w:pPr>
      <w:r>
        <w:t xml:space="preserve">3. gemäß einem nach § 17 Absatz 1 Satz 2 Nummer 9 gefassten Beschluss über Abzüge zur Deckung der Verwaltungskosten;</w:t>
      </w:r>
    </w:p>
    <w:p>
      <w:pPr>
        <w:ind w:left="420"/>
      </w:pPr>
      <w:r>
        <w:t xml:space="preserve">4. gemäß einem nach § 17 Absatz 1 Satz 2 Nummer 9 gefassten Beschluss über Abzüge zur Förderung kulturell bedeutender Werke und Leistungen und für die Einrichtung und den Betrieb von Vorsorge- und Unterstützungseinrichtungen (§ 32).</w:t>
      </w:r>
    </w:p>
    <w:p>
      <w:r>
        <w:rPr>
          <w:color w:val="555555"/>
          <w:sz w:val="17"/>
        </w:rPr>
        <w:t xml:space="preserve">Zitiervorschlag: § 26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