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VGG — Getrennte Konten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Verwertungsgesellschaft weist in der Buchführung getrennt aus:</w:t>
      </w:r>
    </w:p>
    <w:p>
      <w:pPr>
        <w:ind w:left="420"/>
      </w:pPr>
      <w:r>
        <w:t xml:space="preserve">1. die Einnahmen aus den Rechten,</w:t>
      </w:r>
    </w:p>
    <w:p>
      <w:pPr>
        <w:ind w:left="420"/>
      </w:pPr>
      <w:r>
        <w:t xml:space="preserve">2. ihr eigenes Vermögen, die Erträge aus dem eigenen Vermögen sowie die Einnahmen zur Deckung der Verwaltungskosten und aus sonstiger Tätigkeit.</w:t>
      </w:r>
    </w:p>
    <w:p>
      <w:r>
        <w:rPr>
          <w:color w:val="555555"/>
          <w:sz w:val="17"/>
        </w:rPr>
        <w:t xml:space="preserve">Zitiervorschlag: § 24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