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VGG — Aufsichtsgremium</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(1) Die Verwertungsgesellschaft verfügt über ein Gremium, das mit der kontinuierlichen Überwachung derjenigen Personen betraut ist, die kraft Gesetzes oder nach dem Statut zur Vertretung der Verwertungsgesellschaft berechtigt sind (Aufsichtsgremium).</w:t>
      </w:r>
    </w:p>
    <w:p>
      <w:r>
        <w:t xml:space="preserve">(2) In dem Aufsichtsgremium müssen die verschiedenen Kategorien von Mitgliedern fair und ausgewogen vertreten sein.</w:t>
      </w:r>
    </w:p>
    <w:p>
      <w:r>
        <w:t xml:space="preserve">(3) Das Aufsichtsgremium hat mindestens folgende Befugnisse und Aufgaben:</w:t>
      </w:r>
    </w:p>
    <w:p>
      <w:pPr>
        <w:ind w:left="420"/>
      </w:pPr>
      <w:r>
        <w:t xml:space="preserve">1. die Befugnisse, die ihm von der Mitgliederhauptversammlung übertragen werden;</w:t>
      </w:r>
    </w:p>
    <w:p>
      <w:pPr>
        <w:ind w:left="420"/>
      </w:pPr>
      <w:r>
        <w:t xml:space="preserve">2. die Tätigkeit und die Aufgabenerfüllung derjenigen Personen zu überwachen, die kraft Gesetzes oder nach dem Statut zur Vertretung der Verwertungsgesellschaft berechtigt sind;</w:t>
      </w:r>
    </w:p>
    <w:p>
      <w:pPr>
        <w:ind w:left="420"/>
      </w:pPr>
      <w:r>
        <w:t xml:space="preserve">3. die Tätigkeit und die Aufgabenerfüllung derjenigen Personen zu überwachen, die kraft Gesetzes oder nach dem Statut zur Vertretung einer von der Verwertungsgesellschaft abhängigen Verwertungseinrichtung berechtigt sind, soweit die abhängige Verwertungseinrichtung Tätigkeiten einer Verwertungsgesellschaft ausübt.</w:t>
      </w:r>
    </w:p>
    <w:p>
      <w:r>
        <w:t xml:space="preserve">(4) Das Aufsichtsgremium tritt regelmäßig zusammen und berichtet der Mitgliederhauptversammlung mindestens einmal im Jahr über seine Tätigkeit.</w:t>
      </w:r>
    </w:p>
    <w:p>
      <w:r>
        <w:t xml:space="preserve">(5) Die Mitglieder des Aufsichtsgremiums geben mindestens einmal jährlich gegenüber der Mitgliederhauptversammlung eine Erklärung nach § 21 Absatz 3 ab. § 21 Absatz 4 gilt entsprechend.</w:t>
      </w:r>
    </w:p>
    <w:p>
      <w:r>
        <w:rPr>
          <w:color w:val="555555"/>
          <w:sz w:val="17"/>
        </w:rPr>
        <w:t xml:space="preserve">Zitiervorschlag: § 22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