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VGG — Geschäftsführung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trifft Vorkehrungen dafür, dass die Personen, die kraft Gesetzes oder nach dem Statut zur Vertretung der Verwertungsgesellschaft berechtigt sind, ihre Aufgaben solide, umsichtig und angemessen erfüllen.</w:t>
      </w:r>
    </w:p>
    <w:p>
      <w:r>
        <w:t xml:space="preserve">(2) Damit Interessenkonflikte von Personen, die kraft Gesetzes oder nach dem Statut zur Vertretung der Verwertungsgesellschaft berechtigt sind, erkannt und vermieden werden, legt die Verwertungsgesellschaft Verfahren fest und wendet diese an, um Nachteile für Mitglieder und Berechtigte zu verhindern. Dabei legt die Verwertungsgesellschaft auch fest, dass unvermeidbare Interessenkonflikte offenzulegen, zu überwachen und baldmöglichst zu beenden sind.</w:t>
      </w:r>
    </w:p>
    <w:p>
      <w:r>
        <w:t xml:space="preserve">(3) Die Personen, die kraft Gesetzes oder nach dem Statut zur Vertretung der Verwertungsgesellschaft berechtigt sind, geben gegenüber der Mitgliederhauptversammlung mindestens einmal jährlich eine persönliche Erklärung mit folgendem Inhalt ab:</w:t>
      </w:r>
    </w:p>
    <w:p>
      <w:pPr>
        <w:ind w:left="420"/>
      </w:pPr>
      <w:r>
        <w:t xml:space="preserve">1. ihre Beteiligungen an der Verwertungsgesellschaft,</w:t>
      </w:r>
    </w:p>
    <w:p>
      <w:pPr>
        <w:ind w:left="420"/>
      </w:pPr>
      <w:r>
        <w:t xml:space="preserve">2. die Höhe ihrer Vergütung und sonstigen Leistungen, die von der Verwertungsgesellschaft im abgelaufenen Geschäftsjahr bezogen wurden,</w:t>
      </w:r>
    </w:p>
    <w:p>
      <w:pPr>
        <w:ind w:left="420"/>
      </w:pPr>
      <w:r>
        <w:t xml:space="preserve">3. die Höhe der Beträge, die sie in der Eigenschaft als Berechtigter (§ 6) von der Verwertungsgesellschaft im abgelaufenen Geschäftsjahr erhalten haben, und</w:t>
      </w:r>
    </w:p>
    <w:p>
      <w:pPr>
        <w:ind w:left="420"/>
      </w:pPr>
      <w:r>
        <w:t xml:space="preserve">4. Art und Umfang eines tatsächlichen oder möglichen Konflikts zwischen ihren persönlichen Interessen und den Interessen der Verwertungsgesellschaft oder zwischen ihren Pflichten gegenüber der Verwertungsgesellschaft und ihren Pflichten gegenüber einer anderen natürlichen oder juristischen Person.</w:t>
      </w:r>
    </w:p>
    <w:p>
      <w:r>
        <w:t xml:space="preserve">(4) Für die Zwecke der persönlichen Erklärung über die Höhe der in Absatz 3 Nummer 3 genannten Beträge kann die Verwertungsgesellschaft angemessene Stufen festlegen.</w:t>
      </w:r>
    </w:p>
    <w:p>
      <w:r>
        <w:rPr>
          <w:color w:val="555555"/>
          <w:sz w:val="17"/>
        </w:rPr>
        <w:t xml:space="preserve">Zitiervorschlag: § 21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