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VGG — Durchführung der Mitgliederhauptversammlung; Vertretung</w:t>
      </w:r>
    </w:p>
    <w:p>
      <w:r>
        <w:rPr>
          <w:color w:val="555555"/>
          <w:sz w:val="18"/>
        </w:rPr>
        <w:t xml:space="preserve">Verwertungsgesellschaftengesetz</w:t>
      </w:r>
    </w:p>
    <w:p>
      <w:r>
        <w:rPr>
          <w:color w:val="555555"/>
          <w:sz w:val="18"/>
        </w:rPr>
        <w:t xml:space="preserve">Stand: 07.06.2021 (konsolidierte Textfassung, kein amtliches Inkrafttretensdatum)</w:t>
      </w:r>
    </w:p>
    <w:p>
      <w:r>
        <w:t xml:space="preserve">(1) Die Mitgliederhauptversammlung ist mindestens einmal jährlich einzuberufen.</w:t>
      </w:r>
    </w:p>
    <w:p>
      <w:r>
        <w:t xml:space="preserve">(2) Alle Mitglieder der Verwertungsgesellschaft sind sowohl zur Teilnahme an der Mitgliederhauptversammlung als auch zur Abstimmung berechtigt.</w:t>
      </w:r>
    </w:p>
    <w:p>
      <w:r>
        <w:t xml:space="preserve">(3) Die Verwertungsgesellschaft regelt in dem Statut die Voraussetzungen, unter denen die Mitglieder an der Mitgliederhauptversammlung auch ohne Anwesenheit vor Ort und ohne einen Vertreter teilnehmen können und ihr Stimmrecht im Wege elektronischer Kommunikation ausüben können. Die Verwertungsgesellschaft kann die elektronische Ausübung weiterer Mitgliedschaftsrechte zulassen.</w:t>
      </w:r>
    </w:p>
    <w:p>
      <w:r>
        <w:t xml:space="preserve">(4) Jedes Mitglied muss nach Gesetz oder nach dem Statut berechtigt sein, seine Rechte in der Mitgliederhauptversammlung auch durch einen Vertreter ausüben zu lassen, sofern die Vertretung nicht zu einem Interessenkonflikt führt. Ein Interessenkonflikt liegt insbesondere darin, dass derselbe Vertreter Mitglieder verschiedener im Statut festgelegter Kategorien vertritt. Die Verwertungsgesellschaft kann in dem Statut die Anzahl der durch denselben Vertreter vertretenen Mitglieder beschränken, wobei diese Anzahl zehn nicht unterschreiten darf. Eine Vollmacht zur Vertretung eines Mitglieds in einer Mitgliederhauptversammlung ist nur wirksam, wenn sie auf die Vertretung des Mitglieds in dieser Mitgliederhauptversammlung beschränkt ist. Der Vertreter ist verpflichtet, entsprechend den Anweisungen des Mitglieds abzustimmen, das ihn bestellt hat.</w:t>
      </w:r>
    </w:p>
    <w:p>
      <w:r>
        <w:rPr>
          <w:color w:val="555555"/>
          <w:sz w:val="17"/>
        </w:rPr>
        <w:t xml:space="preserve">Zitiervorschlag: § 19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