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VGG — Befugnisse der Mitgliederhauptversammlung in Bezug auf die Organe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Verwertungsgesellschaft regelt in dem Statut, dass die Mitgliederhauptversammlung beschließt über die Ernennung und Entlassung sowie über die Vergütung und sonstigen Leistungen</w:t>
      </w:r>
    </w:p>
    <w:p>
      <w:pPr>
        <w:ind w:left="420"/>
      </w:pPr>
      <w:r>
        <w:t xml:space="preserve">1. der Personen, die kraft Gesetzes oder nach dem Statut zur Vertretung der Verwertungsgesellschaft berechtigt sind,</w:t>
      </w:r>
    </w:p>
    <w:p>
      <w:pPr>
        <w:ind w:left="420"/>
      </w:pPr>
      <w:r>
        <w:t xml:space="preserve">2. der Mitglieder des Aufsichtsrats,</w:t>
      </w:r>
    </w:p>
    <w:p>
      <w:pPr>
        <w:ind w:left="420"/>
      </w:pPr>
      <w:r>
        <w:t xml:space="preserve">3. der Mitglieder des Verwaltungsrats,</w:t>
      </w:r>
    </w:p>
    <w:p>
      <w:pPr>
        <w:ind w:left="420"/>
      </w:pPr>
      <w:r>
        <w:t xml:space="preserve">4. der Mitglieder des Aufsichtsgremiums (§ 22), sofern dessen Befugnisse nicht von dem Aufsichts- oder Verwaltungsrat wahrgenommen werden.</w:t>
      </w:r>
    </w:p>
    <w:p>
      <w:r>
        <w:t xml:space="preserve">(2) Die Mitgliederhauptversammlung kann beschließen, dass die Befugnisse nach Absatz 1 hinsichtlich der Personen, die kraft Gesetzes oder nach dem Statut zur Vertretung berechtigt sind, dem Aufsichtsrat oder dem Aufsichtsgremium nach § 22 übertragen werden.</w:t>
      </w:r>
    </w:p>
    <w:p>
      <w:r>
        <w:rPr>
          <w:color w:val="555555"/>
          <w:sz w:val="17"/>
        </w:rPr>
        <w:t xml:space="preserve">Zitiervorschlag: § 18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