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VGG — Übergangsvorschrift für Rechnungslegung und Transparenzbericht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57 und 58 über die Rechnungslegung und den jährlichen Transparenzbericht sind erstmals auf Geschäftsjahre anzuwenden, die nach dem 31. Dezember 2015 beginnen.</w:t>
      </w:r>
    </w:p>
    <w:p>
      <w:r>
        <w:t xml:space="preserve">(2) Für die Rechnungslegung und Prüfung für Geschäftsjahre, die vor dem 1. Januar 2016 enden, ist § 9 des Urheberrechtswahrnehmungsgesetzes in der bis zum 31. Mai 2016 geltenden Fassung weiterhin anzuwenden.</w:t>
      </w:r>
    </w:p>
    <w:p>
      <w:r>
        <w:rPr>
          <w:color w:val="555555"/>
          <w:sz w:val="17"/>
        </w:rPr>
        <w:t xml:space="preserve">Zitiervorschlag: § 137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