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VGG — Informationspflichten der Verwertungsgesellschaft bei Inkrafttreten dieses Gesetzes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informiert ihre Berechtigten spätestens am 1. Dezember 2016 über die Rechte, die ihnen nach den §§ 9 bis 12 zustehen, einschließlich der in § 11 genannten Bedingungen.</w:t>
      </w:r>
    </w:p>
    <w:p>
      <w:r>
        <w:t xml:space="preserve">(2) Die §§ 47 und 54 sind erstmals auf Geschäftsjahre anzuwenden, die nach dem 31. Dezember 2015 beginnen.</w:t>
      </w:r>
    </w:p>
    <w:p>
      <w:r>
        <w:rPr>
          <w:color w:val="555555"/>
          <w:sz w:val="17"/>
        </w:rPr>
        <w:t xml:space="preserve">Zitiervorschlag: § 135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