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134 VGG — Übergangsvorschrift zur Anpassung des Statuts an die Vorgaben dieses Gesetzes</w:t>
      </w:r>
    </w:p>
    <w:p>
      <w:r>
        <w:rPr>
          <w:color w:val="555555"/>
          <w:sz w:val="18"/>
        </w:rPr>
        <w:t xml:space="preserve">Verwertungsgesellschaftengesetz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Verwertungsgesellschaft passt das Statut, die Wahrnehmungsbedingungen und den Verteilungsplan unverzüglich, spätestens am 31. Dezember 2016, an die Vorgaben dieses Gesetzes an.</w:t>
      </w:r>
    </w:p>
    <w:p>
      <w:r>
        <w:rPr>
          <w:color w:val="555555"/>
          <w:sz w:val="17"/>
        </w:rPr>
        <w:t xml:space="preserve">Zitiervorschlag: § 134 VGG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https://recht.nulegal.eu/gesetze/VGG/134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