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 VGG — Übergangsvorschrift für Erlaubnisse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Verwertungsgesellschaften, denen bei Inkrafttreten dieses Gesetzes bereits eine Erlaubnis nach dem ersten Abschnitt des Urheberrechtswahrnehmungsgesetzes in der bis zum 31. Mai 2016 geltenden Fassung erteilt ist, gilt die Erlaubnis nach § 77 als erteilt.</w:t>
      </w:r>
    </w:p>
    <w:p>
      <w:r>
        <w:t xml:space="preserve">(2) Organisationen, die bei Inkrafttreten dieses Gesetzes bereits Urheberrechte und verwandte Schutzrechte wahrnehmen und die nach § 77 erstmalig einer Erlaubnis bedürfen, sind berechtigt, ihre Wahrnehmungstätigkeit ohne die erforderliche Erlaubnis bis zur Rechtskraft der Entscheidung über den Antrag auf Erteilung der Erlaubnis fortzusetzen, wenn sie</w:t>
      </w:r>
    </w:p>
    <w:p>
      <w:pPr>
        <w:ind w:left="420"/>
      </w:pPr>
      <w:r>
        <w:t xml:space="preserve">1. der Aufsichtsbehörde die Wahrnehmungstätigkeit unverzüglich schriftlich anzeigen und</w:t>
      </w:r>
    </w:p>
    <w:p>
      <w:pPr>
        <w:ind w:left="420"/>
      </w:pPr>
      <w:r>
        <w:t xml:space="preserve">2. bis spätestens 31. Dezember 2016 einen Antrag auf Erteilung der Erlaubnis (§ 78) stellen.</w:t>
      </w:r>
    </w:p>
    <w:p>
      <w:r>
        <w:rPr>
          <w:color w:val="555555"/>
          <w:sz w:val="17"/>
        </w:rPr>
        <w:t xml:space="preserve">Zitiervorschlag: § 132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