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130 VGG — Entscheidung über Gesamtverträge</w:t>
      </w:r>
    </w:p>
    <w:p>
      <w:r>
        <w:rPr>
          <w:color w:val="555555"/>
          <w:sz w:val="18"/>
        </w:rPr>
        <w:t xml:space="preserve">Verwertungsgesellschaftengesetz</w:t>
      </w:r>
    </w:p>
    <w:p>
      <w:r>
        <w:rPr>
          <w:color w:val="555555"/>
          <w:sz w:val="18"/>
        </w:rPr>
        <w:t xml:space="preserve">Stand: 10.06.2019 (konsolidierte Textfassung, kein amtliches Inkrafttretensdatum)</w:t>
      </w:r>
    </w:p>
    <w:p>
      <w:r>
        <w:t xml:space="preserve">Das Oberlandesgericht setzt den Inhalt der Gesamtverträge, insbesondere Art und Höhe der Vergütung, nach billigem Ermessen fest. Die Festsetzung ersetzt die entsprechende Vereinbarung der Beteiligten. Die Festsetzung eines Vertrags ist nur mit Wirkung vom 1. Januar des Jahres an möglich, in dem der Antrag bei der Schiedsstelle gestellt wird.</w:t>
      </w:r>
    </w:p>
    <w:p>
      <w:r>
        <w:rPr>
          <w:color w:val="555555"/>
          <w:sz w:val="17"/>
        </w:rPr>
        <w:t xml:space="preserve">Zitiervorschlag: § 130 VGG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https://recht.nulegal.eu/gesetze/VGG/130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