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VGG — Zuständigkeit des Oberlandesgerichts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Streitfällen nach § 92 Absatz 1 Nummer 2 und 3 sowie Absatz 2, nach § 94 sowie über Ansprüche nach § 108 entscheidet ausschließlich das für den Sitz der Schiedsstelle zuständige Oberlandesgericht im ersten Rechtszug.</w:t>
      </w:r>
    </w:p>
    <w:p>
      <w:r>
        <w:t xml:space="preserve">(2) Für das Verfahren gilt der Erste Abschnitt des Zweiten Buchs der Zivilprozessordnung entsprechend. § 411a der Zivilprozessordnung ist mit der Maßgabe anwendbar, dass die schriftliche Begutachtung auch durch das Ergebnis einer empirischen Untersuchung aus einem Verfahren nach § 93 ersetzt werden kann.</w:t>
      </w:r>
    </w:p>
    <w:p>
      <w:r>
        <w:t xml:space="preserve">(3) Gegen die von dem Oberlandesgericht erlassenen Endurteile findet die Revision nach Maßgabe der Zivilprozessordnung statt.</w:t>
      </w:r>
    </w:p>
    <w:p>
      <w:r>
        <w:t xml:space="preserve">(4) In den Fällen des § 107 Absatz 4 und 5 entscheidet das für den Sitz der Schiedsstelle zuständige Oberlandesgericht durch unanfechtbaren Beschluss. Vor der Entscheidung ist der Gegner zu hören.</w:t>
      </w:r>
    </w:p>
    <w:p>
      <w:r>
        <w:rPr>
          <w:color w:val="555555"/>
          <w:sz w:val="17"/>
        </w:rPr>
        <w:t xml:space="preserve">Zitiervorschlag: § 129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