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125 VGG — Aufsicht</w:t>
      </w:r>
    </w:p>
    <w:p>
      <w:r>
        <w:rPr>
          <w:color w:val="555555"/>
          <w:sz w:val="18"/>
        </w:rPr>
        <w:t xml:space="preserve">Verwertungsgesellschaftengesetz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Mitglieder der Schiedsstelle sind nicht an Weisungen gebunden.</w:t>
      </w:r>
    </w:p>
    <w:p>
      <w:r>
        <w:t xml:space="preserve">(2) Die Dienstaufsicht über die Schiedsstelle führt der Präsident oder die Präsidentin des Deutschen Patent- und Markenamtes.</w:t>
      </w:r>
    </w:p>
    <w:p>
      <w:r>
        <w:rPr>
          <w:color w:val="555555"/>
          <w:sz w:val="17"/>
        </w:rPr>
        <w:t xml:space="preserve">Zitiervorschlag: § 125 VGG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https://recht.nulegal.eu/gesetze/VGG/125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