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VGG — Fälligkeit und Vorschuss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 wird mit der Beendigung des Verfahrens, Auslagen werden sofort nach ihrer Entstehung fällig.</w:t>
      </w:r>
    </w:p>
    <w:p>
      <w:r>
        <w:t xml:space="preserve">(2) Die Zustellung des verfahrenseinleitenden Antrags soll von der Zahlung eines Vorschusses durch den Antragsteller in Höhe eines Drittels der Gebühr abhängig gemacht werden.</w:t>
      </w:r>
    </w:p>
    <w:p>
      <w:r>
        <w:rPr>
          <w:color w:val="555555"/>
          <w:sz w:val="17"/>
        </w:rPr>
        <w:t xml:space="preserve">Zitiervorschlag: § 118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