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 VGG — Kosten des Verfahrens</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Für das Verfahren vor der Schiedsstelle erhebt die Aufsichtsbehörde Gebühren und Auslagen (Kosten).</w:t>
      </w:r>
    </w:p>
    <w:p>
      <w:r>
        <w:t xml:space="preserve">(2) Die Gebühren richten sich nach dem Streitwert. Ihre Höhe bestimmt sich nach § 34 des Gerichtskostengesetzes. Der Streitwert wird von der Schiedsstelle festgesetzt. Er bemisst sich nach den Vorschriften, die für das Verfahren nach der Zivilprozessordnung vor den ordentlichen Gerichten gelten.</w:t>
      </w:r>
    </w:p>
    <w:p>
      <w:r>
        <w:t xml:space="preserve">(3) Für Verfahren nach § 92 Absatz 1 Nummer 2, 3 und Absatz 2 sowie nach § 94 wird eine Gebühr mit einem Gebührensatz von 3,0 erhoben. Wird das Verfahren anders als durch einen Einigungsvorschlag der Schiedsstelle beendet, ermäßigt sich die Gebühr auf einen Gebührensatz von 1,0. Dasselbe gilt, wenn die Beteiligten den Einigungsvorschlag der Schiedsstelle annehmen.</w:t>
      </w:r>
    </w:p>
    <w:p>
      <w:r>
        <w:t xml:space="preserve">(4) Für Verfahren nach § 92 Absatz 1 Nummer 1 und § 93 wird eine Gebühr mit einem Gebührensatz von 1,0 erhoben.</w:t>
      </w:r>
    </w:p>
    <w:p>
      <w:r>
        <w:t xml:space="preserve">(5) Auslagen werden in entsprechender Anwendung der Nummern 9000 bis 9009 und 9013 des Kostenverzeichnisses zum Gerichtskostengesetz erhoben.</w:t>
      </w:r>
    </w:p>
    <w:p>
      <w:r>
        <w:rPr>
          <w:color w:val="555555"/>
          <w:sz w:val="17"/>
        </w:rPr>
        <w:t xml:space="preserve">Zitiervorschlag: § 117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