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114 VGG — Ergebnis der empirischen Untersuchung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Schiedsstelle stellt fest, dass das Ergebnis der empirischen Untersuchung den Anforderungen entspricht, die im Hinblick auf die Aufstellung eines Tarifes gemäß § 40 zu stellen sind. Andernfalls veranlasst sie seine Ergänzung oder Änderung.</w:t>
      </w:r>
    </w:p>
    <w:p>
      <w:r>
        <w:t xml:space="preserve">(2) Sie stellt das den Anforderungen entsprechende Ergebnis den Beteiligten zu und veröffentlicht es in geeigneter Form. § 105 ist nicht anzuwenden.</w:t>
      </w:r>
    </w:p>
    <w:p>
      <w:r>
        <w:rPr>
          <w:color w:val="555555"/>
          <w:sz w:val="17"/>
        </w:rPr>
        <w:t xml:space="preserve">Zitiervorschlag: § 114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https://recht.nulegal.eu/gesetze/VGG/114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