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110 VGG — Streitfälle über Gesamtverträge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Streitfällen nach § 92 Absatz 1 Nummer 3 enthält der Einigungsvorschlag den Inhalt des Gesamtvertrags. Die Schiedsstelle kann einen Gesamtvertrag nur mit Wirkung vom 1. Januar des Jahres vorschlagen, in dem der Antrag bei der Schiedsstelle gestellt wird.</w:t>
      </w:r>
    </w:p>
    <w:p>
      <w:r>
        <w:t xml:space="preserve">(2) Die Schiedsstelle unterrichtet das Bundeskartellamt über das Verfahren. § 90 Absatz 1 Satz 4 und Absatz 2 des Gesetzes gegen Wettbewerbsbeschränkungen ist entsprechend anzuwenden.</w:t>
      </w:r>
    </w:p>
    <w:p>
      <w:r>
        <w:rPr>
          <w:color w:val="555555"/>
          <w:sz w:val="17"/>
        </w:rPr>
        <w:t xml:space="preserve">Zitiervorschlag: § 110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https://recht.nulegal.eu/gesetze/VGG/110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