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 VGG — Sicherheitsleistung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Verfahren nach § 92 Absatz 1 Nummer 2 über die Vergütungspflicht für Geräte und Speichermedien kann die Schiedsstelle auf Antrag der Verwertungsgesellschaft anordnen, dass der beteiligte Hersteller, Importeur oder Händler für die Erfüllung des Anspruchs aus § 54 Absatz 1 des Urheberrechtsgesetzes Sicherheit zu leisten hat. Von der Anordnung nach Satz 1 hat sie abzusehen, wenn angemessene Teilleistungen erbracht sind.</w:t>
      </w:r>
    </w:p>
    <w:p>
      <w:r>
        <w:t xml:space="preserve">(2) Der Antrag muss die Höhe der begehrten Sicherheit enthalten.</w:t>
      </w:r>
    </w:p>
    <w:p>
      <w:r>
        <w:t xml:space="preserve">(3) Über Art und Höhe der Sicherheitsleistung entscheidet die Schiedsstelle nach billigem Ermessen. Bei der Höhe der Sicherheit kann sie nicht über den Antrag hinausgehen.</w:t>
      </w:r>
    </w:p>
    <w:p>
      <w:r>
        <w:t xml:space="preserve">(4) Das zuständige Oberlandesgericht (§ 129 Absatz 1) kann auf Antrag der Verwertungsgesellschaft durch Beschluss die Vollziehung einer Anordnung nach Absatz 1 zulassen, sofern nicht schon eine entsprechende Maßnahme des einstweiligen Rechtsschutzes bei einem Gericht beantragt worden ist. Das zuständige Oberlandesgericht kann die Anordnung abweichend fassen, wenn dies zur Vollziehung notwendig ist.</w:t>
      </w:r>
    </w:p>
    <w:p>
      <w:r>
        <w:t xml:space="preserve">(5) Auf Antrag kann das zuständige Oberlandesgericht den Beschluss nach Absatz 4 aufheben oder ändern.</w:t>
      </w:r>
    </w:p>
    <w:p>
      <w:r>
        <w:rPr>
          <w:color w:val="555555"/>
          <w:sz w:val="17"/>
        </w:rPr>
        <w:t xml:space="preserve">Zitiervorschlag: § 107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