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104 VGG — Aufklärung des Sachverhalts</w:t>
      </w:r>
    </w:p>
    <w:p>
      <w:r>
        <w:rPr>
          <w:color w:val="555555"/>
          <w:sz w:val="18"/>
        </w:rPr>
        <w:t xml:space="preserve">Verwertungsgesellschaftengesetz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Schiedsstelle kann erforderliche Beweise in geeigneter Form erheben. Sie ist an Beweisanträge nicht gebunden.</w:t>
      </w:r>
    </w:p>
    <w:p>
      <w:r>
        <w:t xml:space="preserve">(2) Sie kann die Ladung von Zeugen und den Beweis durch Sachverständige von der Zahlung eines hinreichenden Vorschusses zur Deckung der Auslagen abhängig machen.</w:t>
      </w:r>
    </w:p>
    <w:p>
      <w:r>
        <w:t xml:space="preserve">(3) Den Beteiligten ist Gelegenheit zu geben, sich zu den Ermittlungs- und Beweisergebnissen zu äußern.</w:t>
      </w:r>
    </w:p>
    <w:p>
      <w:r>
        <w:t xml:space="preserve">(4) Die §§ 1050 und 1062 Absatz 4 der Zivilprozessordnung sind entsprechend anzuwenden.</w:t>
      </w:r>
    </w:p>
    <w:p>
      <w:r>
        <w:rPr>
          <w:color w:val="555555"/>
          <w:sz w:val="17"/>
        </w:rPr>
        <w:t xml:space="preserve">Zitiervorschlag: § 104 VGG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https://recht.nulegal.eu/gesetze/VGG/104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