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VGG — Gütliche Streitbeilegung; Vergleich</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Schiedsstelle wirkt auf eine gütliche Beilegung des Streitfalls hin.</w:t>
      </w:r>
    </w:p>
    <w:p>
      <w:r>
        <w:t xml:space="preserve">(2) Kommt ein Vergleich zustande, so muss er in einem besonderen Schriftstück niedergelegt und unter Angabe des Tages seines Zustandekommens von dem Vorsitzenden und den Beteiligten unterschrieben werden. Aus einem vor der Schiedsstelle geschlossenen Vergleich findet die Zwangsvollstreckung statt; § 797a der Zivilprozessordnung gilt entsprechend.</w:t>
      </w:r>
    </w:p>
    <w:p>
      <w:r>
        <w:t xml:space="preserve">(3) Der Vorsitzende kann die Beteiligten mit ihrem Einverständnis zu einem Vergleichsversuch ohne Zuziehung der Beisitzer laden. Er ist dazu verpflichtet, wenn beide Beteiligte dies beantragen.</w:t>
      </w:r>
    </w:p>
    <w:p>
      <w:r>
        <w:rPr>
          <w:color w:val="555555"/>
          <w:sz w:val="17"/>
        </w:rPr>
        <w:t xml:space="preserve">Zitiervorschlag: § 102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