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VGG — Verfahren bei mündlicher Verhandlung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der mündlichen Verhandlung sind die Beteiligten zu laden. Die Ladungsfrist beträgt mindestens zwei Wochen.</w:t>
      </w:r>
    </w:p>
    <w:p>
      <w:r>
        <w:t xml:space="preserve">(2) Die mündliche Verhandlung vor der Schiedsstelle ist nicht öffentlich. Beauftragte des Bundesministeriums der Justiz und für Verbraucherschutz, der Aufsichtsbehörde und des Bundeskartellamts sind zur Teilnahme befugt.</w:t>
      </w:r>
    </w:p>
    <w:p>
      <w:r>
        <w:t xml:space="preserve">(3) Die Schiedsstelle kann Bevollmächtigten oder Beiständen, die nicht Rechtsanwälte sind, den weiteren Vortrag untersagen, wenn sie nicht in der Lage sind, das Sach- und Streitverhältnis sachgerecht darzustellen.</w:t>
      </w:r>
    </w:p>
    <w:p>
      <w:r>
        <w:t xml:space="preserve">(4) Über die Verhandlung ist eine Niederschrift zu fertigen, die vom Vorsitzenden und vom Schriftführer zu unterzeichnen ist.</w:t>
      </w:r>
    </w:p>
    <w:p>
      <w:r>
        <w:rPr>
          <w:color w:val="555555"/>
          <w:sz w:val="17"/>
        </w:rPr>
        <w:t xml:space="preserve">Zitiervorschlag: § 100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