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VFprF (Bayern) — Gliederung der Prüfung</w:t>
      </w:r>
    </w:p>
    <w:p>
      <w:r>
        <w:rPr>
          <w:color w:val="555555"/>
          <w:sz w:val="18"/>
        </w:rPr>
        <w:t xml:space="preserve">Verordnung über die Fortbildungsprüfungen zum Fachagrarwirt und zur Fachagrarwirtin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Prüfung umfasst folgende Prüfungsteile mit den jeweils zugeordneten Prüfungsfächern:</w:t>
      </w:r>
    </w:p>
    <w:p>
      <w:r>
        <w:t xml:space="preserve">1. Prüfungsteil: „Sportplatz als Sport- und Spielfläche“</w:t>
      </w:r>
    </w:p>
    <w:p>
      <w:r>
        <w:t xml:space="preserve">1.1. Grundlagen des Grünflächenbaus und der Grünflächenpflege</w:t>
      </w:r>
    </w:p>
    <w:p>
      <w:r>
        <w:t xml:space="preserve">1.2. Sachkunde Sportstättenkontrolle</w:t>
      </w:r>
    </w:p>
    <w:p>
      <w:r>
        <w:t xml:space="preserve">2. Prüfungsteil: „Sportplatzpflege“</w:t>
      </w:r>
    </w:p>
    <w:p>
      <w:r>
        <w:t xml:space="preserve">2.1. Platzanalyse</w:t>
      </w:r>
    </w:p>
    <w:p>
      <w:r>
        <w:t xml:space="preserve">2.2. Einsatz von Maschinen und Geräten für Sportanlagen</w:t>
      </w:r>
    </w:p>
    <w:p>
      <w:r>
        <w:t xml:space="preserve">3. Prüfungsteil: „Platzmanagement“</w:t>
      </w:r>
    </w:p>
    <w:p>
      <w:r>
        <w:t xml:space="preserve">3.1. Sportstätte und Wettkampf</w:t>
      </w:r>
    </w:p>
    <w:p>
      <w:r>
        <w:t xml:space="preserve">3.2. Kaufmännisches Platzmanagement.</w:t>
      </w:r>
    </w:p>
    <w:p>
      <w:r>
        <w:rPr>
          <w:color w:val="555555"/>
          <w:sz w:val="17"/>
        </w:rPr>
        <w:t xml:space="preserve">Zitiervorschlag: § 26 VFprF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https://recht.nulegal.eu/gesetze/VFprF/26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