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VFprF (Bayern) — Zulassung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Prüfung wird zugelassen, wer</w:t>
      </w:r>
    </w:p>
    <w:p>
      <w:r>
        <w:t xml:space="preserve">1. die Abschlussprüfung in einem der Ausbildungsberufe Landwirt/Landwirtin, Fachkraft Agrarservice, Hauswirtschafter/ Hauswirtschafterin (Ausbildungsberuf der Landwirtschaft), Gärtner/Gärtnerin, Winzer/Winzerin, Tierwirt/Tierwirtin, Pferdewirt/Pferdewirtin, Forstwirt/Forstwirtin oder Brenner/Brennerin bestanden hat und</w:t>
      </w:r>
    </w:p>
    <w:p>
      <w:r>
        <w:t xml:space="preserve">2. nach der Abschlussprüfung mindestens drei Jahre in einem Ausbildungsberuf nach Nr. 1 tätig gewesen ist.</w:t>
      </w:r>
    </w:p>
    <w:p>
      <w:r>
        <w:rPr>
          <w:color w:val="555555"/>
          <w:sz w:val="17"/>
        </w:rPr>
        <w:t xml:space="preserve">Zitiervorschlag: § 21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