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VFprF (Bayern) — Gliederung der Prüfung</w:t>
      </w:r>
    </w:p>
    <w:p>
      <w:r>
        <w:rPr>
          <w:color w:val="555555"/>
          <w:sz w:val="18"/>
        </w:rPr>
        <w:t xml:space="preserve">Verordnung über die Fortbildungsprüfungen zum Fachagrarwirt und zur Fachagrarwirtin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Prüfung umfasst folgende Prüfungsteile mit den jeweils zugeordneten Prüfungsfächern:</w:t>
      </w:r>
    </w:p>
    <w:p>
      <w:r>
        <w:t xml:space="preserve">1. Prüfungsteil: Leitung und Organisation</w:t>
      </w:r>
    </w:p>
    <w:p>
      <w:r>
        <w:t xml:space="preserve">1.1 Kommunikation und Öffentlichkeitsarbeit</w:t>
      </w:r>
    </w:p>
    <w:p>
      <w:r>
        <w:t xml:space="preserve">1.2 Personalwesen</w:t>
      </w:r>
    </w:p>
    <w:p>
      <w:r>
        <w:t xml:space="preserve">1.3 Qualitäts- und Zeitmanagement</w:t>
      </w:r>
    </w:p>
    <w:p>
      <w:r>
        <w:t xml:space="preserve">2. Prüfungsteil: Golf- und Sportanlage und Platzmanagement</w:t>
      </w:r>
    </w:p>
    <w:p>
      <w:r>
        <w:t xml:space="preserve">2.1 Golf- und Sportanlage</w:t>
      </w:r>
    </w:p>
    <w:p>
      <w:r>
        <w:t xml:space="preserve">2.2 Platzmanagement und Umwelt</w:t>
      </w:r>
    </w:p>
    <w:p>
      <w:r>
        <w:t xml:space="preserve">3. Prüfungsteil: Betriebswirtschaft und Recht</w:t>
      </w:r>
    </w:p>
    <w:p>
      <w:r>
        <w:t xml:space="preserve">3.1 Kostenmanagement und Finanzplanung</w:t>
      </w:r>
    </w:p>
    <w:p>
      <w:r>
        <w:t xml:space="preserve">3.2 Recht und Versicherungswesen.</w:t>
      </w:r>
    </w:p>
    <w:p>
      <w:r>
        <w:rPr>
          <w:color w:val="555555"/>
          <w:sz w:val="17"/>
        </w:rPr>
        <w:t xml:space="preserve">Zitiervorschlag: § 18 VFprF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https://recht.nulegal.eu/gesetze/VFprF/18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