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VFprF (Bayern) — Zulassung</w:t>
      </w:r>
    </w:p>
    <w:p>
      <w:r>
        <w:rPr>
          <w:color w:val="555555"/>
          <w:sz w:val="18"/>
        </w:rPr>
        <w:t xml:space="preserve">Verordnung über die Fortbildungsprüfungen zum Fachagrarwirt und zur Fachagrarwirtin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Zur Prüfung wird zugelassen, wer</w:t>
      </w:r>
    </w:p>
    <w:p>
      <w:r>
        <w:t xml:space="preserve">1. die Fortbildungsprüfung zum Fachagrarwirt Golfplatzpflege – Greenkeeper – oder zum Fachagrarwirt Sportplatzpflege bestanden hat und</w:t>
      </w:r>
    </w:p>
    <w:p>
      <w:r>
        <w:t xml:space="preserve">2. drei Jahre als Greenkeeper oder in der Sportplatzpflege tätig gewesen ist.</w:t>
      </w:r>
    </w:p>
    <w:p>
      <w:r>
        <w:rPr>
          <w:color w:val="555555"/>
          <w:sz w:val="17"/>
        </w:rPr>
        <w:t xml:space="preserve">Zitiervorschlag: § 17 VFprF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https://recht.nulegal.eu/gesetze/VFprF/17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