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VFprF (Bayern) — Zulassung</w:t>
      </w:r>
    </w:p>
    <w:p>
      <w:r>
        <w:rPr>
          <w:color w:val="555555"/>
          <w:sz w:val="18"/>
        </w:rPr>
        <w:t xml:space="preserve">Verordnung über die Fortbildungsprüfungen zum Fachagrarwirt und zur Fachagrarwirtin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Prüfung wird zugelassen, wer</w:t>
      </w:r>
    </w:p>
    <w:p>
      <w:r>
        <w:t xml:space="preserve">1. die Abschlußprüfung in einem der Ausbildungsberufe Landwirt/Landwirtin, Fachkraft Agrarservice, Gärtner/Gärtnerin, Forstwirt/Forstwirtin oder Winzer/Winzerin bestanden hat und</w:t>
      </w:r>
    </w:p>
    <w:p>
      <w:r>
        <w:t xml:space="preserve">2. mindestens drei Jahre in einem Ausbildungsberuf nach Nummer 1 oder in der Golfplatzpflege tätig gewesen ist.</w:t>
      </w:r>
    </w:p>
    <w:p>
      <w:r>
        <w:rPr>
          <w:color w:val="555555"/>
          <w:sz w:val="17"/>
        </w:rPr>
        <w:t xml:space="preserve">Zitiervorschlag: § 13 VFprF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https://recht.nulegal.eu/gesetze/VFprF/13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