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VFlughSiKArbbV 4 — Außerkrafttreten</w:t>
      </w:r>
    </w:p>
    <w:p>
      <w:r>
        <w:rPr>
          <w:color w:val="555555"/>
          <w:sz w:val="18"/>
        </w:rPr>
        <w:t xml:space="preserve">Vierte Verkehrsflughäfen-Sicherheitskräftearbeitsbedingungenverordnung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Diese Verordnung tritt mit Ablauf des 31. Dezember 2026 außer Kraft.</w:t>
      </w:r>
    </w:p>
    <w:p>
      <w:r>
        <w:rPr>
          <w:color w:val="555555"/>
          <w:sz w:val="17"/>
        </w:rPr>
        <w:t xml:space="preserve">Zitiervorschlag: § 3 VFlughSiKArbbV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https://recht.nulegal.eu/gesetze/VFlughSiKArbbV%204/3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VFlughSiKArbbV 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