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VFlughSiKArbbV 4 — Anwendungsausnahmen</w:t>
      </w:r>
    </w:p>
    <w:p>
      <w:r>
        <w:rPr>
          <w:color w:val="555555"/>
          <w:sz w:val="18"/>
        </w:rPr>
        <w:t xml:space="preserve">Vierte Verkehrsflughäfen-Sicherheitskräftearbeitsbedingungenverordnung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Diese Verordnung findet keine Anwendung auf die Arbeitnehmerinnen und Arbeitnehmer im Geltungsbereich des Entgelttarifvertrags für Sicherheitskräfte an Verkehrsflughäfen vom 8. April 2025</w:t>
      </w:r>
    </w:p>
    <w:p>
      <w:pPr>
        <w:ind w:left="420"/>
      </w:pPr>
      <w:r>
        <w:t xml:space="preserve">1. der Entgeltgruppe I,</w:t>
      </w:r>
    </w:p>
    <w:p>
      <w:pPr>
        <w:ind w:left="420"/>
      </w:pPr>
      <w:r>
        <w:t xml:space="preserve">2. der Entgeltgruppe III bei Tätigkeiten außerhalb der Flughäfen und der Flächen auf dem Betriebsgelände der Flughäfen, die in Verantwortung der Flughafenbetreiber zugangskontrolliert sind,</w:t>
      </w:r>
    </w:p>
    <w:p>
      <w:pPr>
        <w:ind w:left="420"/>
      </w:pPr>
      <w:r>
        <w:t xml:space="preserve">3. der Entgeltgruppe V.</w:t>
      </w:r>
    </w:p>
    <w:p>
      <w:r>
        <w:rPr>
          <w:color w:val="555555"/>
          <w:sz w:val="17"/>
        </w:rPr>
        <w:t xml:space="preserve">Zitiervorschlag: § 2 VFlughSiKArbbV 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https://recht.nulegal.eu/gesetze/VFlughSiKArbbV%204/2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