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VFBAZV — Inkrafttreten</w:t>
      </w:r>
    </w:p>
    <w:p>
      <w:r>
        <w:rPr>
          <w:color w:val="555555"/>
          <w:sz w:val="18"/>
        </w:rPr>
        <w:t xml:space="preserve">Verordnung über die Zuweisungen an das Sondervermögen „Versorgungsfonds der Bundesagentur für Arbeit“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5 VFBAZV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https://recht.nulegal.eu/gesetze/VFBAZV/5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