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VFBAZV — Zahlverfahren</w:t>
      </w:r>
    </w:p>
    <w:p>
      <w:r>
        <w:rPr>
          <w:color w:val="555555"/>
          <w:sz w:val="18"/>
        </w:rPr>
        <w:t xml:space="preserve">Verordnung über die Zuweisungen an das Sondervermögen „Versorgungsfonds der Bundesagentur für Arbeit“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Zahlung des nach § 2 ermittelten Betrages erfolgt quartalsweise jeweils am vorletzten Werktag im ersten Monat eines Quartals.</w:t>
      </w:r>
    </w:p>
    <w:p>
      <w:r>
        <w:t xml:space="preserve">(2) Die weiteren Einzelheiten des Zahlverfahrens vereinbaren die Bundesagentur für Arbeit und die Deutsche Bundesbank.</w:t>
      </w:r>
    </w:p>
    <w:p>
      <w:r>
        <w:rPr>
          <w:color w:val="555555"/>
          <w:sz w:val="17"/>
        </w:rPr>
        <w:t xml:space="preserve">Zitiervorschlag: § 3 VFBAZV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https://recht.nulegal.eu/gesetze/VFBAZV/3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