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VFBAZV — Höhe des Zuweisungssatzes</w:t>
      </w:r>
    </w:p>
    <w:p>
      <w:r>
        <w:rPr>
          <w:color w:val="555555"/>
          <w:sz w:val="18"/>
        </w:rPr>
        <w:t xml:space="preserve">Verordnung über die Zuweisungen an das Sondervermögen „Versorgungsfonds der Bundesagentur für Arbeit“</w:t>
      </w:r>
    </w:p>
    <w:p>
      <w:r>
        <w:rPr>
          <w:color w:val="555555"/>
          <w:sz w:val="18"/>
        </w:rPr>
        <w:t xml:space="preserve">Stand: 01.01.2024 (konsolidierte Textfassung, kein amtliches Inkrafttretensdatum)</w:t>
      </w:r>
    </w:p>
    <w:p>
      <w:r>
        <w:t xml:space="preserve">Der für die Höhe der regelmäßigen Zuweisungen nach § 366a Absatz 2 Nummer 1 des Dritten Buches Sozialgesetzbuch an das Sondervermögen „Versorgungsfonds der Bundesagentur für Arbeit“ maßgebende Prozentsatz der ruhegehaltfähigen Dienstbezüge oder Entgeltzahlungen (Zuweisungssatz) beträgt für die Beamtinnen und Beamten der Bundesagentur für Arbeit 147,7 Prozent.</w:t>
      </w:r>
    </w:p>
    <w:p>
      <w:r>
        <w:rPr>
          <w:color w:val="555555"/>
          <w:sz w:val="17"/>
        </w:rPr>
        <w:t xml:space="preserve">Zitiervorschlag: § 1 VFBAZV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https://recht.nulegal.eu/gesetze/VFBAZV/1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